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5D5" w:rsidRDefault="007A1BFC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CENTRA ZA RESTRUKTURIRANJE I PRODAJU ZA  2025. GODINU I PROJEKCIJA PLANA ZA 2026. I 2027. GODINU</w:t>
      </w:r>
      <w:r>
        <w:rPr>
          <w:rFonts w:ascii="Calibri" w:hAnsi="Calibri" w:cs="Calibri"/>
          <w:b/>
          <w:sz w:val="28"/>
        </w:rPr>
        <w:br w:type="page"/>
      </w:r>
    </w:p>
    <w:p w:rsidR="004F55D5" w:rsidRDefault="007A1BFC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</w:rPr>
        <w:t>Prijedlog izmjena i dopuna</w:t>
      </w:r>
      <w:r>
        <w:rPr>
          <w:rFonts w:ascii="Calibri" w:hAnsi="Calibri" w:cs="Calibri"/>
        </w:rPr>
        <w:t xml:space="preserve"> financijskog plana Centra za restrukturiranje i prodaju (dalje u tekstu: CERP) za 2025. godinu predlaže</w:t>
      </w:r>
      <w:bookmarkStart w:id="0" w:name="_GoBack"/>
      <w:bookmarkEnd w:id="0"/>
      <w:r>
        <w:rPr>
          <w:rFonts w:ascii="Calibri" w:hAnsi="Calibri" w:cs="Calibri"/>
        </w:rPr>
        <w:t xml:space="preserve"> se zbog stvarno ostvarenih rezultata poslovanja CERP-a u prvih osam mjeseci 2025. godine kao i očekivanih promjena u odnosu na planiran</w:t>
      </w:r>
      <w:r>
        <w:rPr>
          <w:rFonts w:ascii="Calibri" w:hAnsi="Calibri" w:cs="Calibri"/>
        </w:rPr>
        <w:t>e iznose.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</w:rPr>
        <w:t>Slijedom naprijed navedenog, predložena su određena povećanja i smanjenja prihoda i rashoda te povećanja primitaka i izdataka i to kako slijedi:</w:t>
      </w:r>
    </w:p>
    <w:p w:rsidR="004F55D5" w:rsidRDefault="007A1BF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4F55D5">
        <w:tc>
          <w:tcPr>
            <w:tcW w:w="2000" w:type="pct"/>
            <w:shd w:val="clear" w:color="auto" w:fill="BCDFFB"/>
            <w:vAlign w:val="center"/>
          </w:tcPr>
          <w:p w:rsidR="004F55D5" w:rsidRDefault="004F55D5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11.311.936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265.000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11.576.936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102,3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130.000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180.000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360,0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11.361.936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395.000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11.756.936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103,5</w:t>
            </w:r>
          </w:p>
        </w:tc>
      </w:tr>
    </w:tbl>
    <w:p w:rsidR="004F55D5" w:rsidRDefault="004F55D5">
      <w:pPr>
        <w:spacing w:after="0" w:line="240" w:lineRule="auto"/>
      </w:pP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PRIHODI POSLOVANJA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CERP je za 2025. godinu planirao prihode posl</w:t>
      </w:r>
      <w:r w:rsidR="00C03703">
        <w:rPr>
          <w:rFonts w:ascii="Calibri" w:hAnsi="Calibri" w:cs="Calibri"/>
          <w:color w:val="000000"/>
        </w:rPr>
        <w:t>ovanja u iznosu od 11.311.936</w:t>
      </w:r>
      <w:r>
        <w:rPr>
          <w:rFonts w:ascii="Calibri" w:hAnsi="Calibri" w:cs="Calibri"/>
          <w:color w:val="000000"/>
        </w:rPr>
        <w:t xml:space="preserve"> </w:t>
      </w:r>
      <w:r w:rsidR="008F68CA">
        <w:rPr>
          <w:rFonts w:ascii="Calibri" w:hAnsi="Calibri" w:cs="Calibri"/>
          <w:color w:val="000000"/>
        </w:rPr>
        <w:t>EUR</w:t>
      </w:r>
      <w:r>
        <w:rPr>
          <w:rFonts w:ascii="Calibri" w:hAnsi="Calibri" w:cs="Calibri"/>
          <w:color w:val="000000"/>
        </w:rPr>
        <w:t xml:space="preserve"> te </w:t>
      </w:r>
      <w:r>
        <w:rPr>
          <w:rFonts w:ascii="Calibri" w:hAnsi="Calibri" w:cs="Calibri"/>
          <w:color w:val="000000"/>
        </w:rPr>
        <w:t>se predlaže povećanje planiranih prihoda poslovanja kako slijedi:</w:t>
      </w:r>
    </w:p>
    <w:p w:rsidR="004F55D5" w:rsidRDefault="007A1BFC">
      <w:pPr>
        <w:numPr>
          <w:ilvl w:val="0"/>
          <w:numId w:val="1"/>
        </w:numPr>
        <w:spacing w:line="240" w:lineRule="auto"/>
        <w:jc w:val="both"/>
      </w:pPr>
      <w:r>
        <w:rPr>
          <w:rFonts w:ascii="Calibri" w:hAnsi="Calibri" w:cs="Calibri"/>
          <w:b/>
        </w:rPr>
        <w:t xml:space="preserve">Prihodi od imovine </w:t>
      </w:r>
      <w:r>
        <w:rPr>
          <w:rFonts w:ascii="Calibri" w:hAnsi="Calibri" w:cs="Calibri"/>
        </w:rPr>
        <w:t>p</w:t>
      </w:r>
      <w:r w:rsidR="00C03703">
        <w:rPr>
          <w:rFonts w:ascii="Calibri" w:hAnsi="Calibri" w:cs="Calibri"/>
        </w:rPr>
        <w:t>ovećavaju se za iznos 215.000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i to:</w:t>
      </w:r>
    </w:p>
    <w:p w:rsidR="004F55D5" w:rsidRDefault="007A1BFC">
      <w:pPr>
        <w:spacing w:line="240" w:lineRule="auto"/>
        <w:ind w:left="284"/>
        <w:jc w:val="both"/>
      </w:pPr>
      <w:r>
        <w:rPr>
          <w:rFonts w:ascii="Calibri" w:hAnsi="Calibri" w:cs="Calibri"/>
        </w:rPr>
        <w:t xml:space="preserve">- prihodi od financijske imovine povećavaju se na stavci kamate na oročena sredstva i </w:t>
      </w:r>
      <w:r>
        <w:rPr>
          <w:rFonts w:ascii="Calibri" w:hAnsi="Calibri" w:cs="Calibri"/>
        </w:rPr>
        <w:t xml:space="preserve">depozite </w:t>
      </w:r>
      <w:r w:rsidR="00C03703">
        <w:rPr>
          <w:rFonts w:ascii="Calibri" w:hAnsi="Calibri" w:cs="Calibri"/>
        </w:rPr>
        <w:t>po viđenju za iznos od 45.000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>, a na stavci prihodi od dividendi s</w:t>
      </w:r>
      <w:r w:rsidR="00C03703">
        <w:rPr>
          <w:rFonts w:ascii="Calibri" w:hAnsi="Calibri" w:cs="Calibri"/>
        </w:rPr>
        <w:t>manjuju se za iznos od 200.000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color w:val="000000"/>
        </w:rPr>
        <w:t xml:space="preserve">iz razloga što je CERP zaprimio manju dividendu od društava </w:t>
      </w:r>
      <w:r>
        <w:rPr>
          <w:rFonts w:ascii="Calibri" w:hAnsi="Calibri" w:cs="Calibri"/>
        </w:rPr>
        <w:t xml:space="preserve">od planirane, </w:t>
      </w:r>
    </w:p>
    <w:p w:rsidR="004F55D5" w:rsidRDefault="007A1BFC">
      <w:pPr>
        <w:spacing w:line="240" w:lineRule="auto"/>
        <w:ind w:left="284"/>
        <w:jc w:val="both"/>
      </w:pPr>
      <w:r>
        <w:rPr>
          <w:rFonts w:ascii="Calibri" w:hAnsi="Calibri" w:cs="Calibri"/>
        </w:rPr>
        <w:t>- prihodi od kamata na dane zajmove povećavaju se za iznos o</w:t>
      </w:r>
      <w:r w:rsidR="00C03703">
        <w:rPr>
          <w:rFonts w:ascii="Calibri" w:hAnsi="Calibri" w:cs="Calibri"/>
        </w:rPr>
        <w:t>d 370.000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iz razloga što CERP do kraja godine očekuje naplatu redovne kamate po kratkoročnom zajmu od društva ULJANIK Brodogradnja 1856 d.o.o., Pula, u skladu s Odlukom Vlade Republike Hrvatske o izmjeni Odluke za otkup poslovnih udjela u društvu U</w:t>
      </w:r>
      <w:r>
        <w:rPr>
          <w:rFonts w:ascii="Calibri" w:hAnsi="Calibri" w:cs="Calibri"/>
        </w:rPr>
        <w:t>LJANIK Brodogradnja 1856 d.o.o., Pula, od 27. prosinca 2024. godine temeljem koje je rok plaćanja produžen do 31. prosinca 2025. godine;</w:t>
      </w:r>
    </w:p>
    <w:p w:rsidR="004F55D5" w:rsidRDefault="007A1BFC">
      <w:pPr>
        <w:numPr>
          <w:ilvl w:val="0"/>
          <w:numId w:val="2"/>
        </w:numPr>
        <w:spacing w:line="240" w:lineRule="auto"/>
        <w:jc w:val="both"/>
      </w:pPr>
      <w:r>
        <w:rPr>
          <w:rFonts w:ascii="Calibri" w:hAnsi="Calibri" w:cs="Calibri"/>
          <w:b/>
        </w:rPr>
        <w:t xml:space="preserve">Prihodi od prodaje proizvoda i robe te pruženih usluga, prihodi od donacija te povrati po protestiranim jamstvima </w:t>
      </w:r>
      <w:r>
        <w:rPr>
          <w:rFonts w:ascii="Calibri" w:hAnsi="Calibri" w:cs="Calibri"/>
        </w:rPr>
        <w:t>poveć</w:t>
      </w:r>
      <w:r w:rsidR="00C03703">
        <w:rPr>
          <w:rFonts w:ascii="Calibri" w:hAnsi="Calibri" w:cs="Calibri"/>
        </w:rPr>
        <w:t>avaju se za iznos od 50.000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iz razloga što je u prvih osam mjeseci 2025. godine ostvaren veći volumen prodaje dionica i poslovnih udjela trgovačkih društava iz portfelja Republike Hrvatske i Hrvatskog zavoda za mirovinsko osiguranje u odnosu na pla</w:t>
      </w:r>
      <w:r>
        <w:rPr>
          <w:rFonts w:ascii="Calibri" w:hAnsi="Calibri" w:cs="Calibri"/>
        </w:rPr>
        <w:t xml:space="preserve">n za 2025. godinu, te veći prihodi od dividendi društava iz portfelja Republike Hrvatske i Hrvatskog zavoda za mirovinsko osiguranje, a što izravno utječe na povećanje prihoda od naknade na koju CERP ima pravo sukladno odredbama Odluke o visini naknade za </w:t>
      </w:r>
      <w:r>
        <w:rPr>
          <w:rFonts w:ascii="Calibri" w:hAnsi="Calibri" w:cs="Calibri"/>
        </w:rPr>
        <w:t>upravljanje i raspolaganje dionicama i udjelima kojima upravlja Centar za restrukturiranje i prodaju (</w:t>
      </w:r>
      <w:r w:rsidR="008F68CA">
        <w:rPr>
          <w:rFonts w:ascii="Calibri" w:hAnsi="Calibri" w:cs="Calibri"/>
        </w:rPr>
        <w:t>„</w:t>
      </w:r>
      <w:r>
        <w:rPr>
          <w:rFonts w:ascii="Calibri" w:hAnsi="Calibri" w:cs="Calibri"/>
        </w:rPr>
        <w:t>N</w:t>
      </w:r>
      <w:r w:rsidR="008F68CA">
        <w:rPr>
          <w:rFonts w:ascii="Calibri" w:hAnsi="Calibri" w:cs="Calibri"/>
        </w:rPr>
        <w:t xml:space="preserve">arodne </w:t>
      </w:r>
      <w:r>
        <w:rPr>
          <w:rFonts w:ascii="Calibri" w:hAnsi="Calibri" w:cs="Calibri"/>
        </w:rPr>
        <w:t>N</w:t>
      </w:r>
      <w:r w:rsidR="008F68CA">
        <w:rPr>
          <w:rFonts w:ascii="Calibri" w:hAnsi="Calibri" w:cs="Calibri"/>
        </w:rPr>
        <w:t>ovine”, br.</w:t>
      </w:r>
      <w:r>
        <w:rPr>
          <w:rFonts w:ascii="Calibri" w:hAnsi="Calibri" w:cs="Calibri"/>
        </w:rPr>
        <w:t xml:space="preserve"> 39/2019).</w:t>
      </w:r>
    </w:p>
    <w:p w:rsidR="004F55D5" w:rsidRDefault="007A1BFC">
      <w:pPr>
        <w:spacing w:line="240" w:lineRule="auto"/>
        <w:ind w:left="284"/>
        <w:jc w:val="both"/>
      </w:pPr>
      <w:r>
        <w:rPr>
          <w:rFonts w:ascii="Calibri" w:hAnsi="Calibri" w:cs="Calibri"/>
        </w:rPr>
        <w:t> 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PRIHODI OD PRODAJE NEFINANCIJSKE IMOVINE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</w:rPr>
        <w:t>CERP je za 2025. godinu planirao prihode od prodaje nefinancijs</w:t>
      </w:r>
      <w:r w:rsidR="00C03703">
        <w:rPr>
          <w:rFonts w:ascii="Calibri" w:hAnsi="Calibri" w:cs="Calibri"/>
        </w:rPr>
        <w:t>ke imovine u iznosu od 50.000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te se predlaže povećanje planiranih prihoda od prodaje nefinancijske imovine kako slijedi:</w:t>
      </w:r>
    </w:p>
    <w:p w:rsidR="004F55D5" w:rsidRDefault="007A1BFC">
      <w:pPr>
        <w:numPr>
          <w:ilvl w:val="0"/>
          <w:numId w:val="3"/>
        </w:numPr>
        <w:spacing w:line="240" w:lineRule="auto"/>
        <w:jc w:val="both"/>
      </w:pPr>
      <w:r>
        <w:rPr>
          <w:rFonts w:ascii="Calibri" w:hAnsi="Calibri" w:cs="Calibri"/>
          <w:b/>
        </w:rPr>
        <w:t xml:space="preserve">Prihodi od prodaje neproizvedene dugotrajne imovine </w:t>
      </w:r>
      <w:r>
        <w:rPr>
          <w:rFonts w:ascii="Calibri" w:hAnsi="Calibri" w:cs="Calibri"/>
        </w:rPr>
        <w:t>pove</w:t>
      </w:r>
      <w:r w:rsidR="00C03703">
        <w:rPr>
          <w:rFonts w:ascii="Calibri" w:hAnsi="Calibri" w:cs="Calibri"/>
        </w:rPr>
        <w:t>ćavaju se za iznos od 130.000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na stavci zemljište </w:t>
      </w:r>
      <w:r>
        <w:rPr>
          <w:rFonts w:ascii="Calibri" w:hAnsi="Calibri" w:cs="Calibri"/>
          <w:color w:val="000000"/>
        </w:rPr>
        <w:t>iz razloga što se planira prodaja zemljišta</w:t>
      </w:r>
      <w:r>
        <w:rPr>
          <w:rFonts w:ascii="Calibri" w:hAnsi="Calibri" w:cs="Calibri"/>
        </w:rPr>
        <w:t xml:space="preserve"> u vl</w:t>
      </w:r>
      <w:r>
        <w:rPr>
          <w:rFonts w:ascii="Calibri" w:hAnsi="Calibri" w:cs="Calibri"/>
        </w:rPr>
        <w:t>asništvu CERP-a.</w:t>
      </w:r>
    </w:p>
    <w:p w:rsidR="004F55D5" w:rsidRDefault="007A1BF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4F55D5">
        <w:tc>
          <w:tcPr>
            <w:tcW w:w="2000" w:type="pct"/>
            <w:shd w:val="clear" w:color="auto" w:fill="BCDFFB"/>
            <w:vAlign w:val="center"/>
          </w:tcPr>
          <w:p w:rsidR="004F55D5" w:rsidRDefault="004F55D5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7.766.000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183.000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7.949.000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102,4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425.000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-200.000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225.000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52,9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8.191.000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-17.000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8.174.000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99,8</w:t>
            </w:r>
          </w:p>
        </w:tc>
      </w:tr>
    </w:tbl>
    <w:p w:rsidR="004F55D5" w:rsidRDefault="004F55D5">
      <w:pPr>
        <w:spacing w:after="0" w:line="240" w:lineRule="auto"/>
      </w:pP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RASHODI POSLOVANJA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CERP je za 2025. godinu planirao rashode pos</w:t>
      </w:r>
      <w:r w:rsidR="00C03703">
        <w:rPr>
          <w:rFonts w:ascii="Calibri" w:hAnsi="Calibri" w:cs="Calibri"/>
          <w:color w:val="000000"/>
        </w:rPr>
        <w:t>lovanja u iznosu od 7.766.000</w:t>
      </w:r>
      <w:r>
        <w:rPr>
          <w:rFonts w:ascii="Calibri" w:hAnsi="Calibri" w:cs="Calibri"/>
          <w:color w:val="000000"/>
        </w:rPr>
        <w:t xml:space="preserve"> </w:t>
      </w:r>
      <w:r w:rsidR="008F68CA">
        <w:rPr>
          <w:rFonts w:ascii="Calibri" w:hAnsi="Calibri" w:cs="Calibri"/>
          <w:color w:val="000000"/>
        </w:rPr>
        <w:t>EUR</w:t>
      </w:r>
      <w:r>
        <w:rPr>
          <w:rFonts w:ascii="Calibri" w:hAnsi="Calibri" w:cs="Calibri"/>
          <w:color w:val="000000"/>
        </w:rPr>
        <w:t xml:space="preserve"> te se predlaže povećanje planiranih rashoda poslovanja kako slijedi:</w:t>
      </w:r>
    </w:p>
    <w:p w:rsidR="004F55D5" w:rsidRDefault="007A1BFC">
      <w:pPr>
        <w:numPr>
          <w:ilvl w:val="0"/>
          <w:numId w:val="4"/>
        </w:numPr>
        <w:spacing w:line="240" w:lineRule="auto"/>
        <w:jc w:val="both"/>
      </w:pPr>
      <w:r>
        <w:rPr>
          <w:rFonts w:ascii="Calibri" w:hAnsi="Calibri" w:cs="Calibri"/>
          <w:b/>
        </w:rPr>
        <w:t xml:space="preserve">Rashodi za zaposlene </w:t>
      </w:r>
      <w:r>
        <w:rPr>
          <w:rFonts w:ascii="Calibri" w:hAnsi="Calibri" w:cs="Calibri"/>
        </w:rPr>
        <w:t>pove</w:t>
      </w:r>
      <w:r w:rsidR="00C03703">
        <w:rPr>
          <w:rFonts w:ascii="Calibri" w:hAnsi="Calibri" w:cs="Calibri"/>
        </w:rPr>
        <w:t>ćavaju se za iznos od 150.000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na stavci plaće zbog povećanja plaća sukladno Odluci Vlade Republike Hrvatske o visini osnovice za obračun plaće u javnim službama za 2025. godinu;</w:t>
      </w:r>
    </w:p>
    <w:p w:rsidR="004F55D5" w:rsidRDefault="007A1BFC">
      <w:pPr>
        <w:numPr>
          <w:ilvl w:val="0"/>
          <w:numId w:val="4"/>
        </w:numPr>
        <w:spacing w:line="240" w:lineRule="auto"/>
        <w:jc w:val="both"/>
      </w:pPr>
      <w:r>
        <w:rPr>
          <w:rFonts w:ascii="Calibri" w:hAnsi="Calibri" w:cs="Calibri"/>
          <w:b/>
        </w:rPr>
        <w:t xml:space="preserve">Materijalni rashodi </w:t>
      </w:r>
      <w:r>
        <w:rPr>
          <w:rFonts w:ascii="Calibri" w:hAnsi="Calibri" w:cs="Calibri"/>
        </w:rPr>
        <w:t>pov</w:t>
      </w:r>
      <w:r w:rsidR="00C03703">
        <w:rPr>
          <w:rFonts w:ascii="Calibri" w:hAnsi="Calibri" w:cs="Calibri"/>
        </w:rPr>
        <w:t>ećavaju se za iznos od 33.000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i to:</w:t>
      </w:r>
    </w:p>
    <w:p w:rsidR="004F55D5" w:rsidRDefault="007A1BFC">
      <w:pPr>
        <w:spacing w:line="240" w:lineRule="auto"/>
        <w:ind w:left="566" w:hanging="283"/>
        <w:jc w:val="both"/>
      </w:pPr>
      <w:r>
        <w:rPr>
          <w:rFonts w:ascii="Calibri" w:hAnsi="Calibri" w:cs="Calibri"/>
        </w:rPr>
        <w:t>   - rashodi za naknade troškova zaposlenima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</w:t>
      </w:r>
      <w:r w:rsidR="00C03703">
        <w:rPr>
          <w:rFonts w:ascii="Calibri" w:hAnsi="Calibri" w:cs="Calibri"/>
        </w:rPr>
        <w:t>većavaju se za iznos od 8.000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na stavci službena putovanja,</w:t>
      </w:r>
    </w:p>
    <w:p w:rsidR="004F55D5" w:rsidRDefault="007A1BFC">
      <w:pPr>
        <w:spacing w:line="240" w:lineRule="auto"/>
        <w:ind w:left="568" w:hanging="284"/>
        <w:jc w:val="both"/>
      </w:pPr>
      <w:r>
        <w:rPr>
          <w:rFonts w:ascii="Calibri" w:hAnsi="Calibri" w:cs="Calibri"/>
        </w:rPr>
        <w:t>   - rashodi za usluge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povećavaju</w:t>
      </w:r>
      <w:r w:rsidR="00C03703">
        <w:rPr>
          <w:rFonts w:ascii="Calibri" w:hAnsi="Calibri" w:cs="Calibri"/>
        </w:rPr>
        <w:t xml:space="preserve"> se za ukupan iznos od 25.000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i to na stavci komun</w:t>
      </w:r>
      <w:r w:rsidR="00C03703">
        <w:rPr>
          <w:rFonts w:ascii="Calibri" w:hAnsi="Calibri" w:cs="Calibri"/>
        </w:rPr>
        <w:t>alne usluge za iznos od 5.000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te na stavc</w:t>
      </w:r>
      <w:r>
        <w:rPr>
          <w:rFonts w:ascii="Calibri" w:hAnsi="Calibri" w:cs="Calibri"/>
        </w:rPr>
        <w:t>i ost</w:t>
      </w:r>
      <w:r w:rsidR="00C03703">
        <w:rPr>
          <w:rFonts w:ascii="Calibri" w:hAnsi="Calibri" w:cs="Calibri"/>
        </w:rPr>
        <w:t>ale usluge za iznos od 20.000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>.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  <w:b/>
        </w:rPr>
        <w:t>RASHODI ZA NABAVU NEFINANCIJSKE IMOVINE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</w:rPr>
        <w:t>CERP je za 2025. godinu planirao rashode za nabavu nefinancijsk</w:t>
      </w:r>
      <w:r w:rsidR="00C03703">
        <w:rPr>
          <w:rFonts w:ascii="Calibri" w:hAnsi="Calibri" w:cs="Calibri"/>
        </w:rPr>
        <w:t>e imovine u iznosu od 425.000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te se predlaže smanjenje planiranih rashoda za nabavu nefinancijske imo</w:t>
      </w:r>
      <w:r>
        <w:rPr>
          <w:rFonts w:ascii="Calibri" w:hAnsi="Calibri" w:cs="Calibri"/>
        </w:rPr>
        <w:t>vine kako slijedi:</w:t>
      </w:r>
    </w:p>
    <w:p w:rsidR="004F55D5" w:rsidRDefault="007A1BFC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 xml:space="preserve">Rashodi za nabavu proizvedene dugotrajne imovine </w:t>
      </w:r>
      <w:r>
        <w:rPr>
          <w:rFonts w:ascii="Calibri" w:hAnsi="Calibri" w:cs="Calibri"/>
          <w:color w:val="000000"/>
        </w:rPr>
        <w:t>sm</w:t>
      </w:r>
      <w:r w:rsidR="00C03703">
        <w:rPr>
          <w:rFonts w:ascii="Calibri" w:hAnsi="Calibri" w:cs="Calibri"/>
          <w:color w:val="000000"/>
        </w:rPr>
        <w:t>anjuju se za iznos od 200.000</w:t>
      </w:r>
      <w:r>
        <w:rPr>
          <w:rFonts w:ascii="Calibri" w:hAnsi="Calibri" w:cs="Calibri"/>
          <w:color w:val="000000"/>
        </w:rPr>
        <w:t xml:space="preserve"> </w:t>
      </w:r>
      <w:r w:rsidR="008F68CA">
        <w:rPr>
          <w:rFonts w:ascii="Calibri" w:hAnsi="Calibri" w:cs="Calibri"/>
          <w:color w:val="000000"/>
        </w:rPr>
        <w:t>EUR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</w:rPr>
        <w:t>iz razloga što se do kraja 2025. godine ne očekuju ranije planirana ulaganja u računalne programe.</w:t>
      </w:r>
    </w:p>
    <w:p w:rsidR="004F55D5" w:rsidRDefault="007A1BF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4F55D5">
        <w:tc>
          <w:tcPr>
            <w:tcW w:w="2000" w:type="pct"/>
            <w:shd w:val="clear" w:color="auto" w:fill="BCDFFB"/>
            <w:vAlign w:val="center"/>
          </w:tcPr>
          <w:p w:rsidR="004F55D5" w:rsidRDefault="004F55D5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</w:t>
            </w:r>
            <w:r>
              <w:rPr>
                <w:rFonts w:ascii="Calibri" w:hAnsi="Calibri" w:cs="Calibri"/>
                <w:b/>
                <w:sz w:val="18"/>
              </w:rPr>
              <w:t>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11.361.936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395.000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11.756.936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103,5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8.191.000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-17.000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8.174.000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99,8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3.170.936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412.000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3.582.936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113,0</w:t>
            </w:r>
          </w:p>
        </w:tc>
      </w:tr>
    </w:tbl>
    <w:p w:rsidR="004F55D5" w:rsidRDefault="004F55D5">
      <w:pPr>
        <w:spacing w:after="0" w:line="240" w:lineRule="auto"/>
      </w:pP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</w:rPr>
        <w:t xml:space="preserve">CERP je za 2025. godinu planirao višak </w:t>
      </w:r>
      <w:r>
        <w:rPr>
          <w:rFonts w:ascii="Calibri" w:hAnsi="Calibri" w:cs="Calibri"/>
        </w:rPr>
        <w:t>ukupnih prihoda nad ukupnim ra</w:t>
      </w:r>
      <w:r w:rsidR="00C03703">
        <w:rPr>
          <w:rFonts w:ascii="Calibri" w:hAnsi="Calibri" w:cs="Calibri"/>
        </w:rPr>
        <w:t>shodima u iznosu od 3.170.936</w:t>
      </w:r>
      <w:r>
        <w:rPr>
          <w:rFonts w:ascii="Calibri" w:hAnsi="Calibri" w:cs="Calibri"/>
        </w:rPr>
        <w:t> 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>, a ovim Izmjenama i dopunama financijskog plana CERP-a planira se višak ukupnih prihoda nad ukupnim ra</w:t>
      </w:r>
      <w:r w:rsidR="00C03703">
        <w:rPr>
          <w:rFonts w:ascii="Calibri" w:hAnsi="Calibri" w:cs="Calibri"/>
        </w:rPr>
        <w:t>shodima u iznosu od 3.582.936</w:t>
      </w:r>
      <w:r>
        <w:rPr>
          <w:rFonts w:ascii="Calibri" w:hAnsi="Calibri" w:cs="Calibri"/>
        </w:rPr>
        <w:t> 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>.</w:t>
      </w:r>
    </w:p>
    <w:p w:rsidR="004F55D5" w:rsidRDefault="007A1BF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4F55D5">
        <w:tc>
          <w:tcPr>
            <w:tcW w:w="2000" w:type="pct"/>
            <w:shd w:val="clear" w:color="auto" w:fill="BCDFFB"/>
            <w:vAlign w:val="center"/>
          </w:tcPr>
          <w:p w:rsidR="004F55D5" w:rsidRDefault="004F55D5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4F55D5" w:rsidRDefault="007A1BF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580.000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7.370.000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7.950.000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1.370,7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400" w:type="pct"/>
            <w:vAlign w:val="bottom"/>
          </w:tcPr>
          <w:p w:rsidR="004F55D5" w:rsidRDefault="004F55D5">
            <w:pPr>
              <w:spacing w:after="0" w:line="240" w:lineRule="auto"/>
              <w:jc w:val="right"/>
            </w:pP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RAZLIKA PRIMITAKA I IZDATAKA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580.000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6.370.000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6.950.000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1198,3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42.880.125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-1.896.326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40.983.799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95,6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-46.631.061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-4.885.674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-51.516.735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110,5</w:t>
            </w:r>
          </w:p>
        </w:tc>
      </w:tr>
      <w:tr w:rsidR="004F55D5">
        <w:tc>
          <w:tcPr>
            <w:tcW w:w="2000" w:type="pct"/>
            <w:vAlign w:val="bottom"/>
          </w:tcPr>
          <w:p w:rsidR="004F55D5" w:rsidRDefault="007A1BF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-3.170.936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-412.000</w:t>
            </w:r>
          </w:p>
        </w:tc>
        <w:tc>
          <w:tcPr>
            <w:tcW w:w="8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-3.582.936</w:t>
            </w:r>
          </w:p>
        </w:tc>
        <w:tc>
          <w:tcPr>
            <w:tcW w:w="400" w:type="pct"/>
            <w:vAlign w:val="bottom"/>
          </w:tcPr>
          <w:p w:rsidR="004F55D5" w:rsidRDefault="007A1BF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113,0</w:t>
            </w:r>
          </w:p>
        </w:tc>
      </w:tr>
    </w:tbl>
    <w:p w:rsidR="004F55D5" w:rsidRDefault="004F55D5">
      <w:pPr>
        <w:spacing w:after="0" w:line="240" w:lineRule="auto"/>
      </w:pP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 xml:space="preserve">PRIMICI OD FINANCIJSKE IMOVINE I ZADUŽIVANJA 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CERP je za 2025. godinu planirao primitke od financijske imovine i za</w:t>
      </w:r>
      <w:r w:rsidR="00C03703">
        <w:rPr>
          <w:rFonts w:ascii="Calibri" w:hAnsi="Calibri" w:cs="Calibri"/>
          <w:color w:val="000000"/>
        </w:rPr>
        <w:t>duživanja u iznosu od 580.000</w:t>
      </w:r>
      <w:r>
        <w:rPr>
          <w:rFonts w:ascii="Calibri" w:hAnsi="Calibri" w:cs="Calibri"/>
          <w:color w:val="000000"/>
        </w:rPr>
        <w:t xml:space="preserve"> </w:t>
      </w:r>
      <w:r w:rsidR="008F68CA">
        <w:rPr>
          <w:rFonts w:ascii="Calibri" w:hAnsi="Calibri" w:cs="Calibri"/>
          <w:color w:val="000000"/>
        </w:rPr>
        <w:t>EUR</w:t>
      </w:r>
      <w:r>
        <w:rPr>
          <w:rFonts w:ascii="Calibri" w:hAnsi="Calibri" w:cs="Calibri"/>
          <w:color w:val="000000"/>
        </w:rPr>
        <w:t xml:space="preserve"> te se predlaže povećanje planiranih primitaka od financijske imovine i zaduživanja kako slijedi:</w:t>
      </w:r>
    </w:p>
    <w:p w:rsidR="004F55D5" w:rsidRDefault="007A1BFC">
      <w:pPr>
        <w:numPr>
          <w:ilvl w:val="0"/>
          <w:numId w:val="6"/>
        </w:num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Primlj</w:t>
      </w:r>
      <w:r>
        <w:rPr>
          <w:rFonts w:ascii="Calibri" w:hAnsi="Calibri" w:cs="Calibri"/>
          <w:b/>
          <w:color w:val="000000"/>
        </w:rPr>
        <w:t>eni povrati glavnica danih zajmova </w:t>
      </w:r>
      <w:r>
        <w:rPr>
          <w:rFonts w:ascii="Calibri" w:hAnsi="Calibri" w:cs="Calibri"/>
          <w:color w:val="000000"/>
        </w:rPr>
        <w:t>poveća</w:t>
      </w:r>
      <w:r w:rsidR="00C03703">
        <w:rPr>
          <w:rFonts w:ascii="Calibri" w:hAnsi="Calibri" w:cs="Calibri"/>
          <w:color w:val="000000"/>
        </w:rPr>
        <w:t>vaju se za iznos od 5.100.000</w:t>
      </w:r>
      <w:r>
        <w:rPr>
          <w:rFonts w:ascii="Calibri" w:hAnsi="Calibri" w:cs="Calibri"/>
          <w:color w:val="000000"/>
        </w:rPr>
        <w:t xml:space="preserve"> </w:t>
      </w:r>
      <w:r w:rsidR="008F68CA">
        <w:rPr>
          <w:rFonts w:ascii="Calibri" w:hAnsi="Calibri" w:cs="Calibri"/>
          <w:color w:val="000000"/>
        </w:rPr>
        <w:t>EUR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</w:rPr>
        <w:t>iz razloga što se na kraju 2025. godine očekuje povrat glavnice kratkoročnog zajma od društva ULJANIK Brodogradnja 1856 d.o.o., Pula, u skladu s Odlukom Vlade Republike Hrvatske</w:t>
      </w:r>
      <w:r>
        <w:rPr>
          <w:rFonts w:ascii="Calibri" w:hAnsi="Calibri" w:cs="Calibri"/>
        </w:rPr>
        <w:t xml:space="preserve"> o izmjeni Odluke za otkup poslovnih udjela u društvu ULJANIK Brodogradnja 1856 d.o.o., Pula, od 27. prosinca 2024. godine temeljem koje je rok povrata zajma produžen do 31. prosinca 2025. godine;</w:t>
      </w:r>
    </w:p>
    <w:p w:rsidR="004F55D5" w:rsidRDefault="007A1BFC">
      <w:pPr>
        <w:numPr>
          <w:ilvl w:val="0"/>
          <w:numId w:val="6"/>
        </w:num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Primici od prodaje financijskih instrumenata - dionica i ud</w:t>
      </w:r>
      <w:r>
        <w:rPr>
          <w:rFonts w:ascii="Calibri" w:hAnsi="Calibri" w:cs="Calibri"/>
          <w:b/>
          <w:color w:val="000000"/>
        </w:rPr>
        <w:t xml:space="preserve">jela u glavnici </w:t>
      </w:r>
      <w:r>
        <w:rPr>
          <w:rFonts w:ascii="Calibri" w:hAnsi="Calibri" w:cs="Calibri"/>
          <w:color w:val="000000"/>
        </w:rPr>
        <w:t>poveća</w:t>
      </w:r>
      <w:r w:rsidR="00C03703">
        <w:rPr>
          <w:rFonts w:ascii="Calibri" w:hAnsi="Calibri" w:cs="Calibri"/>
          <w:color w:val="000000"/>
        </w:rPr>
        <w:t>vaju se za iznos od 2.270.000</w:t>
      </w:r>
      <w:r>
        <w:rPr>
          <w:rFonts w:ascii="Calibri" w:hAnsi="Calibri" w:cs="Calibri"/>
          <w:color w:val="000000"/>
        </w:rPr>
        <w:t xml:space="preserve"> </w:t>
      </w:r>
      <w:r w:rsidR="008F68CA">
        <w:rPr>
          <w:rFonts w:ascii="Calibri" w:hAnsi="Calibri" w:cs="Calibri"/>
          <w:color w:val="000000"/>
        </w:rPr>
        <w:t>EUR</w:t>
      </w:r>
      <w:r>
        <w:rPr>
          <w:rFonts w:ascii="Calibri" w:hAnsi="Calibri" w:cs="Calibri"/>
          <w:color w:val="000000"/>
        </w:rPr>
        <w:t xml:space="preserve"> iz razloga što je CERP </w:t>
      </w:r>
      <w:r>
        <w:rPr>
          <w:rFonts w:ascii="Calibri" w:hAnsi="Calibri" w:cs="Calibri"/>
        </w:rPr>
        <w:t>u prvih osam mjeseci 2025. godine ostvario veće primitke od prodaje dionica u vlasništvu CERP-a od planiranih</w:t>
      </w:r>
      <w:r>
        <w:rPr>
          <w:rFonts w:ascii="Calibri" w:hAnsi="Calibri" w:cs="Calibri"/>
          <w:color w:val="000000"/>
        </w:rPr>
        <w:t>.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 xml:space="preserve">IZDACI ZA FINANCIJSKU IMOVINU I OTPLATE ZAJMOVA 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</w:rPr>
        <w:t>CERP za 2025.</w:t>
      </w:r>
      <w:r>
        <w:rPr>
          <w:rFonts w:ascii="Calibri" w:hAnsi="Calibri" w:cs="Calibri"/>
        </w:rPr>
        <w:t xml:space="preserve"> godinu nije planirao izdatke za financijsku imovinu i otplate zajmova. Međutim, temeljem Odluke Vlade Republike Hrvatske o odobravanju namjenskog zajma društvu 3. MAJ Rijeka 1905 d.o.o., od 24. srpnja 2025. godine, društvu 3. MAJ Rijeka 1905 d.o.o. isplać</w:t>
      </w:r>
      <w:r>
        <w:rPr>
          <w:rFonts w:ascii="Calibri" w:hAnsi="Calibri" w:cs="Calibri"/>
        </w:rPr>
        <w:t>en je namjen</w:t>
      </w:r>
      <w:r w:rsidR="00C03703">
        <w:rPr>
          <w:rFonts w:ascii="Calibri" w:hAnsi="Calibri" w:cs="Calibri"/>
        </w:rPr>
        <w:t>ski zajam u iznosu od 985.665,61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 xml:space="preserve"> radi otklanjanja poremećaja u proizvodnom procesu i stabilizaciji poslovanja. Slijedom navedenog predlaže se povećanje izdataka za financijsku imovinu i otplate zajmova na stavci izdaci za dane zajmove i ja</w:t>
      </w:r>
      <w:r>
        <w:rPr>
          <w:rFonts w:ascii="Calibri" w:hAnsi="Calibri" w:cs="Calibri"/>
        </w:rPr>
        <w:t>mčevne</w:t>
      </w:r>
      <w:r w:rsidR="00C03703">
        <w:rPr>
          <w:rFonts w:ascii="Calibri" w:hAnsi="Calibri" w:cs="Calibri"/>
        </w:rPr>
        <w:t xml:space="preserve"> pologe za iznos od 1.000.000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>.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PRIJENOS SREDSTAVA</w:t>
      </w:r>
    </w:p>
    <w:p w:rsidR="004F55D5" w:rsidRDefault="007A1BFC">
      <w:pPr>
        <w:spacing w:line="240" w:lineRule="auto"/>
        <w:jc w:val="both"/>
      </w:pPr>
      <w:r>
        <w:rPr>
          <w:rFonts w:ascii="Calibri" w:hAnsi="Calibri" w:cs="Calibri"/>
        </w:rPr>
        <w:t>Planirani prijenos sredstava u sljedeću godinu pove</w:t>
      </w:r>
      <w:r w:rsidR="00C03703">
        <w:rPr>
          <w:rFonts w:ascii="Calibri" w:hAnsi="Calibri" w:cs="Calibri"/>
        </w:rPr>
        <w:t>ćava se za iznos od 4.885.674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 w:rsidR="00C03703">
        <w:rPr>
          <w:rFonts w:ascii="Calibri" w:hAnsi="Calibri" w:cs="Calibri"/>
        </w:rPr>
        <w:t xml:space="preserve"> na iznos od 51.516.735</w:t>
      </w:r>
      <w:r>
        <w:rPr>
          <w:rFonts w:ascii="Calibri" w:hAnsi="Calibri" w:cs="Calibri"/>
        </w:rPr>
        <w:t xml:space="preserve"> </w:t>
      </w:r>
      <w:r w:rsidR="008F68CA">
        <w:rPr>
          <w:rFonts w:ascii="Calibri" w:hAnsi="Calibri" w:cs="Calibri"/>
        </w:rPr>
        <w:t>EUR</w:t>
      </w:r>
      <w:r>
        <w:rPr>
          <w:rFonts w:ascii="Calibri" w:hAnsi="Calibri" w:cs="Calibri"/>
        </w:rPr>
        <w:t>, a navedeno povećanje rezultat je ostvarenih primitaka od prodaje dionica i poslovnih udjela u vlasništvu CERP-a te naplaćene dividende od društava u vlasništvu CERP-a, a isti će se koristiti za podmirenje tekućih obveza CERP-a.</w:t>
      </w:r>
    </w:p>
    <w:sectPr w:rsidR="004F55D5">
      <w:footerReference w:type="default" r:id="rId7"/>
      <w:footerReference w:type="first" r:id="rId8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A1BFC">
      <w:pPr>
        <w:spacing w:after="0" w:line="240" w:lineRule="auto"/>
      </w:pPr>
      <w:r>
        <w:separator/>
      </w:r>
    </w:p>
  </w:endnote>
  <w:endnote w:type="continuationSeparator" w:id="0">
    <w:p w:rsidR="00000000" w:rsidRDefault="007A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5D5" w:rsidRDefault="007A1BFC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A1BF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A1BFC">
      <w:pPr>
        <w:spacing w:after="0" w:line="240" w:lineRule="auto"/>
      </w:pPr>
      <w:r>
        <w:separator/>
      </w:r>
    </w:p>
  </w:footnote>
  <w:footnote w:type="continuationSeparator" w:id="0">
    <w:p w:rsidR="00000000" w:rsidRDefault="007A1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A3299"/>
    <w:multiLevelType w:val="singleLevel"/>
    <w:tmpl w:val="C73E0A72"/>
    <w:name w:val="square"/>
    <w:lvl w:ilvl="0">
      <w:numFmt w:val="bullet"/>
      <w:lvlText w:val="▪"/>
      <w:lvlJc w:val="left"/>
      <w:pPr>
        <w:ind w:left="420" w:hanging="360"/>
      </w:pPr>
    </w:lvl>
  </w:abstractNum>
  <w:abstractNum w:abstractNumId="1" w15:restartNumberingAfterBreak="0">
    <w:nsid w:val="1CD37116"/>
    <w:multiLevelType w:val="singleLevel"/>
    <w:tmpl w:val="5D2CFB14"/>
    <w:name w:val="circle"/>
    <w:lvl w:ilvl="0">
      <w:numFmt w:val="bullet"/>
      <w:lvlText w:val="o"/>
      <w:lvlJc w:val="left"/>
      <w:pPr>
        <w:ind w:left="420" w:hanging="360"/>
      </w:pPr>
    </w:lvl>
  </w:abstractNum>
  <w:abstractNum w:abstractNumId="2" w15:restartNumberingAfterBreak="0">
    <w:nsid w:val="2C754C3C"/>
    <w:multiLevelType w:val="singleLevel"/>
    <w:tmpl w:val="DCEE463E"/>
    <w:name w:val="disc"/>
    <w:lvl w:ilvl="0">
      <w:numFmt w:val="bullet"/>
      <w:lvlText w:val="•"/>
      <w:lvlJc w:val="left"/>
      <w:pPr>
        <w:ind w:left="420" w:hanging="360"/>
      </w:pPr>
    </w:lvl>
  </w:abstractNum>
  <w:abstractNum w:abstractNumId="3" w15:restartNumberingAfterBreak="0">
    <w:nsid w:val="42376CD0"/>
    <w:multiLevelType w:val="singleLevel"/>
    <w:tmpl w:val="7B2CC166"/>
    <w:name w:val="upper-roman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4" w15:restartNumberingAfterBreak="0">
    <w:nsid w:val="689B5E47"/>
    <w:multiLevelType w:val="singleLevel"/>
    <w:tmpl w:val="0F9AF494"/>
    <w:name w:val="decimal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5" w15:restartNumberingAfterBreak="0">
    <w:nsid w:val="6EB265B1"/>
    <w:multiLevelType w:val="singleLevel"/>
    <w:tmpl w:val="0E726CE4"/>
    <w:name w:val="lower-roman"/>
    <w:lvl w:ilvl="0">
      <w:start w:val="1"/>
      <w:numFmt w:val="lowerRoman"/>
      <w:lvlText w:val="%1."/>
      <w:lvlJc w:val="left"/>
      <w:pPr>
        <w:ind w:left="420" w:hanging="360"/>
      </w:pPr>
    </w:lvl>
  </w:abstractNum>
  <w:abstractNum w:abstractNumId="6" w15:restartNumberingAfterBreak="0">
    <w:nsid w:val="6EC83D86"/>
    <w:multiLevelType w:val="singleLevel"/>
    <w:tmpl w:val="1DFEFCEC"/>
    <w:name w:val="lower-alpha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7" w15:restartNumberingAfterBreak="0">
    <w:nsid w:val="79FB74E7"/>
    <w:multiLevelType w:val="singleLevel"/>
    <w:tmpl w:val="3DE4C7F6"/>
    <w:name w:val="upper-alpha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8" w15:restartNumberingAfterBreak="0">
    <w:nsid w:val="7ECE705C"/>
    <w:multiLevelType w:val="singleLevel"/>
    <w:tmpl w:val="881061B8"/>
    <w:name w:val="decimal-heading-multi"/>
    <w:lvl w:ilvl="0">
      <w:start w:val="1"/>
      <w:numFmt w:val="decimal"/>
      <w:lvlText w:val="%1."/>
      <w:lvlJc w:val="left"/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55D5"/>
    <w:rsid w:val="0012078D"/>
    <w:rsid w:val="004F55D5"/>
    <w:rsid w:val="007A1BFC"/>
    <w:rsid w:val="008F68CA"/>
    <w:rsid w:val="00C03703"/>
    <w:rsid w:val="00D0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713E"/>
  <w15:docId w15:val="{35F50864-AF13-4E1B-A6E8-204736A6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1083</Words>
  <Characters>6175</Characters>
  <Application>Microsoft Office Word</Application>
  <DocSecurity>0</DocSecurity>
  <Lines>51</Lines>
  <Paragraphs>14</Paragraphs>
  <ScaleCrop>false</ScaleCrop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Jure Biloglav</cp:lastModifiedBy>
  <cp:revision>10</cp:revision>
  <dcterms:created xsi:type="dcterms:W3CDTF">2025-10-01T08:05:00Z</dcterms:created>
  <dcterms:modified xsi:type="dcterms:W3CDTF">2025-10-01T08:09:00Z</dcterms:modified>
</cp:coreProperties>
</file>